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Rôle des bénévoles aux concours de Dog Dancing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Les bénévoles doivent rester discrets en toutes circonstances, sans friandises ni jouets sur eux. </w:t>
      </w:r>
    </w:p>
    <w:p w:rsidR="00000000" w:rsidDel="00000000" w:rsidP="00000000" w:rsidRDefault="00000000" w:rsidRPr="00000000" w14:paraId="00000004">
      <w:pPr>
        <w:jc w:val="both"/>
        <w:rPr>
          <w:rFonts w:ascii="Verdana" w:cs="Verdana" w:eastAsia="Verdana" w:hAnsi="Verdana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Rôle du responsable de l’organisation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Verdana" w:cs="Verdana" w:eastAsia="Verdana" w:hAnsi="Verdana"/>
          <w:highlight w:val="red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Assurer le briefing des bénévoles en amont de la manifestation.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Distribuer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les rôles et préciser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les postes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sur lesquels interviendront les personnes concernées.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Prévoir un roulement sur chaque poste en cours de journée et l’inscrire au planning.</w:t>
      </w:r>
    </w:p>
    <w:p w:rsidR="00000000" w:rsidDel="00000000" w:rsidP="00000000" w:rsidRDefault="00000000" w:rsidRPr="00000000" w14:paraId="00000008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Organiser, conjointement avec le juge, le déroulé de la journée et attribuer les ordres de passages.</w:t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highlight w:val="red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rganiser l’installation de la piste et la préparation du matériel nécessaire au déroulé du concours.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Rôle du </w:t>
      </w: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responsable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sonorisation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 amont : </w:t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S’assurer que la durée de la musique est conforme à celle autorisée par le règlement, en fonction du niveau d’évolution. Dans le cas contraire, prévenir le concurrent.</w:t>
      </w:r>
    </w:p>
    <w:p w:rsidR="00000000" w:rsidDel="00000000" w:rsidP="00000000" w:rsidRDefault="00000000" w:rsidRPr="00000000" w14:paraId="0000000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Le jour J : </w:t>
      </w:r>
    </w:p>
    <w:p w:rsidR="00000000" w:rsidDel="00000000" w:rsidP="00000000" w:rsidRDefault="00000000" w:rsidRPr="00000000" w14:paraId="0000000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Lors de la reconnaissance de piste, faire vérifier au compétiteur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la qualité de sa musique et le niveau sonore souhaité. </w:t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Dans l’éventualité où un concurrent n’aurait pas modifié sa musique pour qu’elle soit conforme à la durée de son niveau, en informer le juge. </w:t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Lancer la musique lorsque le juge lui donne le signal.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Chronométrer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la durée d’installation des accessoires du concurrent et signaler au juge un éventuel dépassement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de temps (&gt;90 secondes)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Le chrono se déclenche dès l’entrée sur la piste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du</w:t>
      </w:r>
      <w:r w:rsidDel="00000000" w:rsidR="00000000" w:rsidRPr="00000000">
        <w:rPr>
          <w:rFonts w:ascii="Verdana" w:cs="Verdana" w:eastAsia="Verdana" w:hAnsi="Verdana"/>
          <w:color w:val="00ff0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concurrent ou de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l’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aide bénévole.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Rôle du commissaire aux concurrents :</w:t>
      </w:r>
    </w:p>
    <w:p w:rsidR="00000000" w:rsidDel="00000000" w:rsidP="00000000" w:rsidRDefault="00000000" w:rsidRPr="00000000" w14:paraId="00000015">
      <w:pPr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S’assurer que le concurrent suivant est prêt et le faire entrer dans le sas d’échauffement quand le concurrent précédent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est entré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en piste. </w:t>
      </w:r>
    </w:p>
    <w:p w:rsidR="00000000" w:rsidDel="00000000" w:rsidP="00000000" w:rsidRDefault="00000000" w:rsidRPr="00000000" w14:paraId="00000016">
      <w:pPr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Rôle du bénévole en entrée de piste :</w:t>
      </w:r>
    </w:p>
    <w:p w:rsidR="00000000" w:rsidDel="00000000" w:rsidP="00000000" w:rsidRDefault="00000000" w:rsidRPr="00000000" w14:paraId="00000019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S’enquérir de l’aide souhaitée par le compétiteur si celui-ci a des accessoires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/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Soit tenir le chien pendant que le concurrent pose ses accessoires.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Soit poser les accessoires du concurrent à sa demande et sous ses directives. Si le bénévole accompagne le concurrent, les deux personnes doivent entrer en même temps sur la piste.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Faire entrer le binôme en piste au signal du juge et fermer de suite la barrière. </w:t>
      </w:r>
    </w:p>
    <w:p w:rsidR="00000000" w:rsidDel="00000000" w:rsidP="00000000" w:rsidRDefault="00000000" w:rsidRPr="00000000" w14:paraId="0000001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Rester près de celle-ci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pour éviter tout retour du chien en piste vers le sas d’entrée.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Verdana" w:cs="Verdana" w:eastAsia="Verdana" w:hAnsi="Verdana"/>
          <w:highlight w:val="green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S’assurer que la corbeille, dans laquelle le concurrent a déposé ses affaires,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est bien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transférée dès son entrée en piste</w:t>
      </w:r>
      <w:r w:rsidDel="00000000" w:rsidR="00000000" w:rsidRPr="00000000">
        <w:rPr>
          <w:rFonts w:ascii="Verdana" w:cs="Verdana" w:eastAsia="Verdana" w:hAnsi="Verdana"/>
          <w:color w:val="00ff0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dans le sas de sortie.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Rôle du bénévole en sortie de piste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Verdana" w:cs="Verdana" w:eastAsia="Verdana" w:hAnsi="Verdana"/>
          <w:shd w:fill="e69138" w:val="clear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Récupérer la corbeille du concurrent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en piste auprès du sas d’entrée et la poser dans celui de sortie, à distance de la piste.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Ouvrir la barrière quand le binôme arrive à proximité (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ne pas ouvrir si le conducteur et le chien ne sont pas ensemble).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Sortir les accessoires de piste uniquement lorsque le binôme a rejoint le sas de sortie et les ranger à l’endroit prévu.</w:t>
      </w:r>
    </w:p>
    <w:p w:rsidR="00000000" w:rsidDel="00000000" w:rsidP="00000000" w:rsidRDefault="00000000" w:rsidRPr="00000000" w14:paraId="00000024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Laisser le conducteur récompenser son chien et faire en sorte que le binôme s’éloigne avant le début de la chorégraphie suivante.</w:t>
      </w:r>
    </w:p>
    <w:p w:rsidR="00000000" w:rsidDel="00000000" w:rsidP="00000000" w:rsidRDefault="00000000" w:rsidRPr="00000000" w14:paraId="00000025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Rôle du bénévole aux accessoires : </w:t>
      </w:r>
    </w:p>
    <w:p w:rsidR="00000000" w:rsidDel="00000000" w:rsidP="00000000" w:rsidRDefault="00000000" w:rsidRPr="00000000" w14:paraId="00000027">
      <w:pPr>
        <w:jc w:val="both"/>
        <w:rPr>
          <w:rFonts w:ascii="Verdana" w:cs="Verdana" w:eastAsia="Verdana" w:hAnsi="Verdana"/>
          <w:highlight w:val="green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Vérifier l’organisation et le rangement des accessoires (emplacement, numérotation etc) afin de faciliter leur accès aux bénévoles et concurrents, tout au long de la journée.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Verdana" w:cs="Verdana" w:eastAsia="Verdana" w:hAnsi="Verdana"/>
          <w:shd w:fill="ff9900" w:val="clear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Rôle du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sz w:val="22"/>
          <w:szCs w:val="22"/>
          <w:u w:val="single"/>
          <w:shd w:fill="auto" w:val="clear"/>
          <w:vertAlign w:val="baseline"/>
          <w:rtl w:val="0"/>
        </w:rPr>
        <w:t xml:space="preserve">bénévole </w:t>
      </w: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au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sz w:val="22"/>
          <w:szCs w:val="22"/>
          <w:u w:val="single"/>
          <w:shd w:fill="auto" w:val="clear"/>
          <w:vertAlign w:val="baseline"/>
          <w:rtl w:val="0"/>
        </w:rPr>
        <w:t xml:space="preserve">secrétariat du juge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Noter les remarques du juge sur les feuilles de jugements et/ou de funs au fur et à mesure de la chorégraphie, si ce dernier le désire.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Effectuer les calculs que le Juge lui demande en fin de chorégraphie et reporter les notes sous dictée de ce dernier. Une discrétion est attendue de sa part,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il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ne devra en aucun cas donner son avis sur la qualité des chorégraphies, ni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divulguer les résultats.</w:t>
      </w:r>
    </w:p>
    <w:p w:rsidR="00000000" w:rsidDel="00000000" w:rsidP="00000000" w:rsidRDefault="00000000" w:rsidRPr="00000000" w14:paraId="0000002B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Verdana" w:cs="Verdana" w:eastAsia="Verdana" w:hAnsi="Verdana"/>
          <w:b w:val="1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Rôle du responsable informatique 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66.9291338582675" w:right="0" w:hanging="585"/>
        <w:jc w:val="both"/>
        <w:rPr>
          <w:rFonts w:ascii="Verdana" w:cs="Verdana" w:eastAsia="Verdana" w:hAnsi="Verdana"/>
          <w:highlight w:val="red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Rentrer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informatiquement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les résultats attribués par le juge.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Afficher les résultats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et/o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u les valider, pour la saisie en direct. </w:t>
      </w:r>
    </w:p>
    <w:p w:rsidR="00000000" w:rsidDel="00000000" w:rsidP="00000000" w:rsidRDefault="00000000" w:rsidRPr="00000000" w14:paraId="0000002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Imprimer les documents de fin de concours (rapport de jugement et reçu de participation CNEAC). </w:t>
      </w:r>
    </w:p>
    <w:p w:rsidR="00000000" w:rsidDel="00000000" w:rsidP="00000000" w:rsidRDefault="00000000" w:rsidRPr="00000000" w14:paraId="0000003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Valider l’envoi des résultats à la CNEAC en fin de concours.</w:t>
      </w:r>
    </w:p>
    <w:p w:rsidR="00000000" w:rsidDel="00000000" w:rsidP="00000000" w:rsidRDefault="00000000" w:rsidRPr="00000000" w14:paraId="00000031">
      <w:pPr>
        <w:jc w:val="both"/>
        <w:rPr>
          <w:rFonts w:ascii="Verdana" w:cs="Verdana" w:eastAsia="Verdana" w:hAnsi="Verdana"/>
          <w:highlight w:val="gree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401E2B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3E02B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EOQqdP6gh1mpzgktGfV7mM4PXA==">CgMxLjAyCGguZ2pkZ3hzOAByITFNbTJNUktUUlhORFVJUXNiTURrUFRObm9tdk1yREtFTQ==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2024-11-15T14:15:00Z</dcterms:created>
  <dc:creator>Compte Microsoft</dc:creator>
</cp:coreProperties>
</file>