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84" w:rsidRDefault="002E5484" w:rsidP="002E5484">
      <w:pPr>
        <w:pStyle w:val="Titre2"/>
        <w:jc w:val="center"/>
      </w:pPr>
      <w:r>
        <w:t>ANNEXE 17 : Document de synthèse organisation d’une finale</w:t>
      </w:r>
    </w:p>
    <w:p w:rsidR="002E5484" w:rsidRDefault="002E5484" w:rsidP="002E5484">
      <w:pPr>
        <w:pStyle w:val="Titre2"/>
        <w:jc w:val="center"/>
      </w:pPr>
      <w:r>
        <w:t>ORGANISATION FINALE CNEAC</w:t>
      </w:r>
    </w:p>
    <w:p w:rsidR="002E5484" w:rsidRDefault="002E5484" w:rsidP="002E5484">
      <w:r>
        <w:t xml:space="preserve"> </w:t>
      </w:r>
    </w:p>
    <w:p w:rsidR="002E5484" w:rsidRPr="002E5484" w:rsidRDefault="002E5484" w:rsidP="002E5484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b/>
          <w:color w:val="FFFFFF" w:themeColor="background1"/>
        </w:rPr>
      </w:pPr>
      <w:r w:rsidRPr="002E5484">
        <w:rPr>
          <w:b/>
          <w:color w:val="FFFFFF" w:themeColor="background1"/>
        </w:rPr>
        <w:t xml:space="preserve">LES ETAPES PRELIMINAIRES </w:t>
      </w:r>
    </w:p>
    <w:p w:rsidR="002E5484" w:rsidRDefault="002E5484" w:rsidP="002E5484">
      <w:r>
        <w:t xml:space="preserve">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>Se rapprocher des acteurs locaux (Président de canine, de CTEAC, de CTT) pour présenter le projet.</w:t>
      </w:r>
    </w:p>
    <w:p w:rsidR="002E5484" w:rsidRPr="002E5484" w:rsidRDefault="002E5484" w:rsidP="002E5484">
      <w:pPr>
        <w:pStyle w:val="Paragraphedeliste"/>
        <w:numPr>
          <w:ilvl w:val="0"/>
          <w:numId w:val="1"/>
        </w:numPr>
        <w:rPr>
          <w:rFonts w:ascii="MS Mincho" w:eastAsia="MS Mincho" w:hAnsi="MS Mincho" w:cs="MS Mincho"/>
        </w:rPr>
      </w:pPr>
      <w:r>
        <w:t xml:space="preserve">Se rapprocher du groupe de travail CNEAC de l’activité concernée et du responsable des Evènements CNEAC. </w:t>
      </w:r>
    </w:p>
    <w:p w:rsidR="002E5484" w:rsidRPr="002E5484" w:rsidRDefault="002E5484" w:rsidP="002E5484">
      <w:pPr>
        <w:pStyle w:val="Paragraphedeliste"/>
        <w:numPr>
          <w:ilvl w:val="0"/>
          <w:numId w:val="1"/>
        </w:numPr>
        <w:rPr>
          <w:rFonts w:ascii="MS Mincho" w:eastAsia="MS Mincho" w:hAnsi="MS Mincho" w:cs="MS Mincho"/>
        </w:rPr>
      </w:pPr>
      <w:r>
        <w:t xml:space="preserve">Envoyer l’acte de candidature au responsable Evènements CNEAC pour validation par la commission puis la SCC. </w:t>
      </w:r>
    </w:p>
    <w:p w:rsidR="002E5484" w:rsidRPr="002E5484" w:rsidRDefault="002E5484" w:rsidP="002E5484">
      <w:pPr>
        <w:pStyle w:val="Paragraphedeliste"/>
        <w:numPr>
          <w:ilvl w:val="0"/>
          <w:numId w:val="1"/>
        </w:numPr>
        <w:rPr>
          <w:rFonts w:ascii="MS Mincho" w:eastAsia="MS Mincho" w:hAnsi="MS Mincho" w:cs="MS Mincho"/>
        </w:rPr>
      </w:pPr>
      <w:r>
        <w:t>Constituer un comité d’organisation et préparer un budget prévisionnel.</w:t>
      </w:r>
    </w:p>
    <w:p w:rsidR="002E5484" w:rsidRPr="002E5484" w:rsidRDefault="002E5484" w:rsidP="002E5484">
      <w:pPr>
        <w:pStyle w:val="Paragraphedeliste"/>
        <w:numPr>
          <w:ilvl w:val="0"/>
          <w:numId w:val="1"/>
        </w:numPr>
        <w:rPr>
          <w:rFonts w:ascii="MS Mincho" w:eastAsia="MS Mincho" w:hAnsi="MS Mincho" w:cs="MS Mincho"/>
        </w:rPr>
      </w:pPr>
      <w:r>
        <w:t xml:space="preserve">Obtenir les accords des autorités locales (Mairie, Préfectures).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Signer le cahier des charges et la convention avec la commission CNEAC. </w:t>
      </w:r>
    </w:p>
    <w:p w:rsidR="002E5484" w:rsidRDefault="002E5484" w:rsidP="002E5484"/>
    <w:p w:rsidR="002E5484" w:rsidRPr="002E5484" w:rsidRDefault="002E5484" w:rsidP="002E5484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b/>
          <w:color w:val="FFFFFF" w:themeColor="background1"/>
        </w:rPr>
      </w:pPr>
      <w:r w:rsidRPr="002E5484">
        <w:rPr>
          <w:b/>
          <w:color w:val="FFFFFF" w:themeColor="background1"/>
        </w:rPr>
        <w:t>INFRASTRUCTURES</w:t>
      </w:r>
      <w:r>
        <w:rPr>
          <w:b/>
          <w:color w:val="FFFFFF" w:themeColor="background1"/>
        </w:rPr>
        <w:t xml:space="preserve"> </w:t>
      </w:r>
      <w:r w:rsidRPr="002E5484">
        <w:rPr>
          <w:b/>
          <w:color w:val="FFFFFF" w:themeColor="background1"/>
        </w:rPr>
        <w:t xml:space="preserve">NECESSAIRES </w:t>
      </w:r>
    </w:p>
    <w:p w:rsidR="002E5484" w:rsidRDefault="002E5484" w:rsidP="002E5484">
      <w:r>
        <w:t xml:space="preserve">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>Selon le type de finale, le cahier des charges précise le nombre de terrain et leur surface, ou les dimensions de la salle…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Prévoir des parkings en nombre suffisant pour accueillir les concurrents, organisateurs et visiteurs.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Des parkings adaptés aux camping-cars (sol stabilisé) et des parkings pour les </w:t>
      </w:r>
      <w:proofErr w:type="spellStart"/>
      <w:r>
        <w:t>Handi</w:t>
      </w:r>
      <w:proofErr w:type="spellEnd"/>
      <w:r>
        <w:t xml:space="preserve"> à proximité sont à prévoir.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>Des toilettes en nombre suffisant sont à prévoir.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Une couverture internet est indispensable pour une retransmission en Live </w:t>
      </w:r>
      <w:proofErr w:type="spellStart"/>
      <w:r>
        <w:t>stream</w:t>
      </w:r>
      <w:proofErr w:type="spellEnd"/>
      <w:r>
        <w:t xml:space="preserve">.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Bien évaluer les besoins en électricité et les alimentations selon les schémas données.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Disposer de structures légères en nombre suffisant (barnum) et de salles pour la restauration. </w:t>
      </w:r>
    </w:p>
    <w:p w:rsidR="002E5484" w:rsidRDefault="002E5484" w:rsidP="002E5484"/>
    <w:p w:rsidR="002E5484" w:rsidRPr="002E5484" w:rsidRDefault="002E5484" w:rsidP="002E5484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b/>
          <w:color w:val="FFFFFF" w:themeColor="background1"/>
        </w:rPr>
      </w:pPr>
      <w:r w:rsidRPr="002E5484">
        <w:rPr>
          <w:b/>
          <w:color w:val="FFFFFF" w:themeColor="background1"/>
        </w:rPr>
        <w:t>RESSOURCES HUMAINES</w:t>
      </w:r>
    </w:p>
    <w:p w:rsidR="002E5484" w:rsidRDefault="002E5484" w:rsidP="002E5484">
      <w:r>
        <w:t xml:space="preserve">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Le comité d’organisation prévoit un responsable par mission. La CNEAC est en copie des décisions prises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Selon le type de finale le nombre de personnes nécessaires varie de 20 à 80 personnes par jour pour la finale.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Selon le type de finale, il faut prévoir la préparation en amont du site et le rangement après la finale.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Des partenariats avec d’autres clubs peuvent être envisagés ainsi que des collaborations avec des structures locales (comité des Fêtes, clubs associatifs, Maisons Familiales et Rurales, </w:t>
      </w:r>
      <w:proofErr w:type="spellStart"/>
      <w:r>
        <w:t>etc</w:t>
      </w:r>
      <w:proofErr w:type="spellEnd"/>
      <w:r w:rsidR="00923834">
        <w:t>…</w:t>
      </w:r>
    </w:p>
    <w:p w:rsidR="002E5484" w:rsidRDefault="002E5484" w:rsidP="002E5484">
      <w:r>
        <w:t xml:space="preserve"> </w:t>
      </w:r>
    </w:p>
    <w:p w:rsidR="002E5484" w:rsidRPr="002E5484" w:rsidRDefault="002E5484" w:rsidP="002E5484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b/>
          <w:color w:val="FFFFFF" w:themeColor="background1"/>
        </w:rPr>
      </w:pPr>
      <w:r w:rsidRPr="002E5484">
        <w:rPr>
          <w:b/>
          <w:color w:val="FFFFFF" w:themeColor="background1"/>
        </w:rPr>
        <w:t>RESSOURCES MATERIELS</w:t>
      </w:r>
    </w:p>
    <w:p w:rsidR="002E5484" w:rsidRDefault="002E5484" w:rsidP="002E5484">
      <w:r>
        <w:t xml:space="preserve">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Selon le type de finale des partenariats existent pour la mise à disposition de parcours neufs.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Le matériel informatique et de chronométrage sont amenés par la CNEAC sur la plupart des finales.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 xml:space="preserve">Des banderoles au logo de la SCC et CNEAC sont fournies aux organisateurs. </w:t>
      </w:r>
    </w:p>
    <w:p w:rsidR="002E5484" w:rsidRDefault="002E5484" w:rsidP="002E5484"/>
    <w:p w:rsidR="002E5484" w:rsidRPr="002E5484" w:rsidRDefault="002E5484" w:rsidP="002E5484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b/>
          <w:color w:val="FFFFFF" w:themeColor="background1"/>
        </w:rPr>
      </w:pPr>
      <w:r w:rsidRPr="002E5484">
        <w:rPr>
          <w:b/>
          <w:color w:val="FFFFFF" w:themeColor="background1"/>
        </w:rPr>
        <w:t xml:space="preserve">OUTILS DE COMMUNICATION </w:t>
      </w:r>
    </w:p>
    <w:p w:rsidR="002E5484" w:rsidRDefault="002E5484" w:rsidP="002E5484">
      <w:r>
        <w:t xml:space="preserve"> 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>Un site ou une page peuvent être crée spécifiquement pour l’évènement</w:t>
      </w:r>
      <w:r w:rsidR="00923834">
        <w:t>.</w:t>
      </w:r>
    </w:p>
    <w:p w:rsidR="002E5484" w:rsidRDefault="002E5484" w:rsidP="002E5484">
      <w:pPr>
        <w:pStyle w:val="Paragraphedeliste"/>
        <w:numPr>
          <w:ilvl w:val="0"/>
          <w:numId w:val="1"/>
        </w:numPr>
      </w:pPr>
      <w:r>
        <w:t>Les affiches et tout support de communication sont validés au préalable par la CNEAC</w:t>
      </w:r>
      <w:r w:rsidR="00923834">
        <w:t>.</w:t>
      </w:r>
    </w:p>
    <w:p w:rsidR="004701FD" w:rsidRPr="002E5484" w:rsidRDefault="002E5484" w:rsidP="002E5484">
      <w:pPr>
        <w:pStyle w:val="Paragraphedeliste"/>
        <w:numPr>
          <w:ilvl w:val="0"/>
          <w:numId w:val="1"/>
        </w:numPr>
      </w:pPr>
      <w:r>
        <w:t>Les listes de concurrents, de planning sont établies par la CNEAC</w:t>
      </w:r>
      <w:r w:rsidR="00923834">
        <w:t>.</w:t>
      </w:r>
    </w:p>
    <w:sectPr w:rsidR="004701FD" w:rsidRPr="002E5484" w:rsidSect="002E5484">
      <w:type w:val="continuous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34D0"/>
    <w:multiLevelType w:val="hybridMultilevel"/>
    <w:tmpl w:val="F4C605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F3D1B"/>
    <w:multiLevelType w:val="hybridMultilevel"/>
    <w:tmpl w:val="CCB60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A17A9"/>
    <w:multiLevelType w:val="hybridMultilevel"/>
    <w:tmpl w:val="E35256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4614F"/>
    <w:multiLevelType w:val="hybridMultilevel"/>
    <w:tmpl w:val="A9AE282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4701FD"/>
    <w:rsid w:val="000E4C4A"/>
    <w:rsid w:val="002E5484"/>
    <w:rsid w:val="00413F74"/>
    <w:rsid w:val="004701FD"/>
    <w:rsid w:val="00923834"/>
    <w:rsid w:val="00A00CE0"/>
    <w:rsid w:val="00EB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7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54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48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E5484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ARLETTE CATTOEN</dc:creator>
  <cp:lastModifiedBy>Bob Laurane</cp:lastModifiedBy>
  <cp:revision>2</cp:revision>
  <cp:lastPrinted>2024-11-04T22:07:00Z</cp:lastPrinted>
  <dcterms:created xsi:type="dcterms:W3CDTF">2024-11-04T22:07:00Z</dcterms:created>
  <dcterms:modified xsi:type="dcterms:W3CDTF">2024-11-04T22:07:00Z</dcterms:modified>
</cp:coreProperties>
</file>